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</w:rPr>
        <w:t>合同编号：</w:t>
      </w:r>
      <w:r>
        <w:rPr>
          <w:rFonts w:hint="eastAsia"/>
          <w:color w:val="FF0000"/>
        </w:rPr>
        <w:t>ZLCX202000</w:t>
      </w:r>
      <w:r>
        <w:rPr>
          <w:rFonts w:hint="eastAsia"/>
          <w:color w:val="FF0000"/>
          <w:lang w:val="en-US" w:eastAsia="zh-CN"/>
        </w:rPr>
        <w:t>**</w:t>
      </w:r>
    </w:p>
    <w:p>
      <w:pPr>
        <w:jc w:val="center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专利查新委托书</w:t>
      </w:r>
    </w:p>
    <w:p/>
    <w:tbl>
      <w:tblPr>
        <w:tblStyle w:val="2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"/>
        <w:gridCol w:w="645"/>
        <w:gridCol w:w="1719"/>
        <w:gridCol w:w="1687"/>
        <w:gridCol w:w="1052"/>
        <w:gridCol w:w="3878"/>
        <w:gridCol w:w="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559" w:type="dxa"/>
            <w:gridSpan w:val="3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查新项目名称</w:t>
            </w:r>
          </w:p>
        </w:tc>
        <w:tc>
          <w:tcPr>
            <w:tcW w:w="6621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中文：</w:t>
            </w:r>
            <w:r>
              <w:rPr>
                <w:rFonts w:hint="eastAsia" w:ascii="宋体" w:hAnsi="宋体" w:eastAsia="宋体" w:cs="宋体"/>
                <w:color w:val="0000FF"/>
                <w:spacing w:val="-2"/>
                <w:kern w:val="28"/>
                <w:sz w:val="24"/>
                <w:szCs w:val="24"/>
              </w:rPr>
              <w:t>利用生物技术开发一种新乳糖酶及其高效生产途径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559" w:type="dxa"/>
            <w:gridSpan w:val="3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21" w:type="dxa"/>
            <w:gridSpan w:val="5"/>
            <w:noWrap w:val="0"/>
            <w:vAlign w:val="center"/>
          </w:tcPr>
          <w:p>
            <w:pPr>
              <w:ind w:left="630" w:hanging="720" w:hangingChars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英文：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40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    托    人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姓名（单位）</w:t>
            </w:r>
          </w:p>
        </w:tc>
        <w:tc>
          <w:tcPr>
            <w:tcW w:w="66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66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38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话</w:t>
            </w:r>
          </w:p>
        </w:tc>
        <w:tc>
          <w:tcPr>
            <w:tcW w:w="38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38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40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  新  机  构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机构名称</w:t>
            </w:r>
          </w:p>
        </w:tc>
        <w:tc>
          <w:tcPr>
            <w:tcW w:w="66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南方医科大学知识产权信息服务中心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66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广东省广州市沙太南路1023号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510515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38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smupatentservice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顾  萍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话</w:t>
            </w:r>
          </w:p>
        </w:tc>
        <w:tc>
          <w:tcPr>
            <w:tcW w:w="38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61648055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  璐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话</w:t>
            </w:r>
          </w:p>
        </w:tc>
        <w:tc>
          <w:tcPr>
            <w:tcW w:w="38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020-62789012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" w:type="dxa"/>
          <w:trHeight w:val="610" w:hRule="atLeast"/>
        </w:trPr>
        <w:tc>
          <w:tcPr>
            <w:tcW w:w="9176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查新目的</w:t>
            </w:r>
          </w:p>
          <w:p>
            <w:pPr>
              <w:ind w:firstLine="2400" w:firstLineChars="10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专利申请</w:t>
            </w:r>
          </w:p>
          <w:p>
            <w:pPr>
              <w:ind w:firstLine="2400" w:firstLineChars="10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" w:type="dxa"/>
          <w:trHeight w:val="5233" w:hRule="atLeast"/>
        </w:trPr>
        <w:tc>
          <w:tcPr>
            <w:tcW w:w="9176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查新点与查新要求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查新要求：</w:t>
            </w:r>
          </w:p>
          <w:p>
            <w:pPr>
              <w:numPr>
                <w:ilvl w:val="1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进行文献对比分析(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)； </w:t>
            </w:r>
          </w:p>
          <w:p>
            <w:pPr>
              <w:numPr>
                <w:ilvl w:val="1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说明国内(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)、国内外(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)有无相同或类似研究；</w:t>
            </w:r>
          </w:p>
          <w:p>
            <w:pPr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查新点（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简要列出须进行查新检索分析对比评价的要点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）：</w:t>
            </w:r>
          </w:p>
          <w:p>
            <w:pPr>
              <w:numPr>
                <w:numId w:val="0"/>
              </w:numPr>
              <w:ind w:left="420" w:leftChars="0"/>
              <w:rPr>
                <w:rFonts w:hint="eastAsia" w:ascii="宋体" w:hAnsi="宋体" w:eastAsia="宋体" w:cs="宋体"/>
                <w:color w:val="0000FF"/>
                <w:spacing w:val="6"/>
                <w:sz w:val="24"/>
                <w:szCs w:val="24"/>
              </w:rPr>
            </w:pPr>
          </w:p>
          <w:p>
            <w:pPr>
              <w:numPr>
                <w:ilvl w:val="1"/>
                <w:numId w:val="1"/>
              </w:numPr>
              <w:rPr>
                <w:rFonts w:hint="eastAsia" w:ascii="宋体" w:hAnsi="宋体" w:eastAsia="宋体" w:cs="宋体"/>
                <w:color w:val="0000FF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乳糖酶基因克隆、转移和表达的分子生物学的研究</w:t>
            </w:r>
            <w:r>
              <w:rPr>
                <w:rFonts w:hint="eastAsia" w:ascii="宋体" w:hAnsi="宋体" w:eastAsia="宋体" w:cs="宋体"/>
                <w:color w:val="0000FF"/>
                <w:spacing w:val="6"/>
                <w:sz w:val="24"/>
                <w:szCs w:val="24"/>
              </w:rPr>
              <w:t>；</w:t>
            </w:r>
          </w:p>
          <w:p>
            <w:pPr>
              <w:numPr>
                <w:ilvl w:val="1"/>
                <w:numId w:val="1"/>
              </w:numP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开展乳糖酶基因克隆、转移和表达分子生物学研究；</w:t>
            </w:r>
          </w:p>
          <w:p>
            <w:pPr>
              <w:numPr>
                <w:ilvl w:val="1"/>
                <w:numId w:val="1"/>
              </w:numP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亮白曲霉的乳糖酶基因的克隆、转移和表达；</w:t>
            </w:r>
          </w:p>
          <w:p>
            <w:pPr>
              <w:numPr>
                <w:ilvl w:val="1"/>
                <w:numId w:val="1"/>
              </w:numP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利用毕赤酵母表达系统作为高效生物反应器表达乳糖酶。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5" w:type="dxa"/>
          <w:wAfter w:w="2" w:type="dxa"/>
          <w:trHeight w:val="10392" w:hRule="atLeast"/>
        </w:trPr>
        <w:tc>
          <w:tcPr>
            <w:tcW w:w="898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查新项目的科学技术要点(请提供300-500字的内容简介，着重说明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查新项目的主要科学技术特征、技术参数或指标、应用范围、查新委托人自我判断的新颖性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即主要的创新技术点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，类似专利说明书和权利要求书内容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) 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将乳糖酶添加到新鲜牛乳中，可以提高牛乳中乳糖的含量，国外已有乳糖酶产品销售。本课题对亮白曲霉所产的乳糖酶基因进行了克隆、测序，并将其转移到毕赤酵母中表达。具体技术要点如下：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1.挖掘出新的菌株，该菌株属于亮白曲霉。该菌株所产的乳糖酶与商业化的米曲霉atcc20423的乳糖酶相比，在比活、pH稳定性、pH范围、热稳定性、金属离子及化学试剂稳定性、Km上均具有优越性；与酵母（Kluyvermyces lactis、Kluyvermyces fragilis）来源的乳糖酶相比，具有pH适用范围宽、热稳定性强等优点。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2.从该菌株克隆得到乳糖酶基因。与目前商业化应用的米曲霉乳糖酶氨基酸序列相比同源性达99.5%，虽然只有3个氨基酸不同，但两者在酶学性质上的显著差异说明，亮白曲霉的乳糖酶基因可能为新基因，我们已将此基因在GeneBank中登录，登录号为：EMBL ACCESSION NO.AJ431643。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3.利用毕赤酵母表达系统作为高效生物反应器表达乳糖酶。其特点在于：①高效表达，乳糖酶的表达量近6 g/L，酶活性为3600 U/mL。比目前报道的利用基因工程米曲霉获得的乳糖酶最高表达量（1 g/L）还高6倍。②可高效分泌，目的蛋白质基本都分泌到培养基中，一方面可提高表达量，另一方面有利于乳糖酶的后加工。③表达乳糖酶的高效生物反应器具有良好的安全性，无抗药性标记，培养过程中不分泌有毒物质和热源。④发酵工艺简单，培养基均为工业原料，便宜易得。⑤糖基化程度低，免疫原性低，更适于临床应用。</w:t>
            </w: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4.将表达得到的乳糖酶添加到新鲜牛乳中，在不同的温度区段均获得良好的乳糖水解效果。</w:t>
            </w:r>
          </w:p>
          <w:p>
            <w:pPr>
              <w:ind w:firstLine="48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5" w:type="dxa"/>
          <w:wAfter w:w="2" w:type="dxa"/>
          <w:trHeight w:val="3068" w:hRule="atLeast"/>
        </w:trPr>
        <w:tc>
          <w:tcPr>
            <w:tcW w:w="898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四、查新委托人提供的检索词（中英文主题词、关键词等）</w:t>
            </w:r>
          </w:p>
          <w:p>
            <w:pPr>
              <w:ind w:firstLine="48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乳糖酶（Lactase）</w:t>
            </w:r>
          </w:p>
          <w:p>
            <w:pPr>
              <w:ind w:firstLine="48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亮白曲霉（Aspergilluscandidus）</w:t>
            </w:r>
          </w:p>
          <w:p>
            <w:pPr>
              <w:ind w:firstLine="48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毕赤酵母 (Pichia)</w:t>
            </w:r>
          </w:p>
          <w:p>
            <w:pPr>
              <w:ind w:firstLine="48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基因克隆 (gene cloning)</w:t>
            </w:r>
          </w:p>
          <w:p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表达 (expression)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5" w:type="dxa"/>
          <w:wAfter w:w="2" w:type="dxa"/>
          <w:trHeight w:val="4653" w:hRule="atLeast"/>
        </w:trPr>
        <w:tc>
          <w:tcPr>
            <w:tcW w:w="8983" w:type="dxa"/>
            <w:gridSpan w:val="6"/>
            <w:noWrap w:val="0"/>
            <w:vAlign w:val="top"/>
          </w:tcPr>
          <w:p>
            <w:pPr>
              <w:ind w:left="480" w:hanging="480" w:hanging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五、查新委托人提供的参考文献及资料目录(列出3－5篇与本项目密切相关的国内外文献标题、著者、刊名、年、卷、期、页)</w:t>
            </w:r>
          </w:p>
          <w:p>
            <w:pPr>
              <w:ind w:left="479" w:leftChars="114" w:hanging="240" w:hangingChars="10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1. 张伟, 姚斌, 等. 来源于亮白曲霉的乳糖酶基因的克隆及序列分析. 生物工程学报, 2002,18(5): 566-571</w:t>
            </w:r>
          </w:p>
          <w:p>
            <w:pP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 xml:space="preserve">   </w:t>
            </w:r>
          </w:p>
          <w:p>
            <w:pPr>
              <w:ind w:left="479" w:leftChars="114" w:hanging="240" w:hangingChars="10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2. Domingues L,Onnela ML, Teixeira JA, et al. Construction of a flocculent brewer's yeast strain secreting Aspergillus niger beta-galactosidase. Appl Microbiol Biotechnol, 2000, 54(1): 97-103</w:t>
            </w:r>
          </w:p>
          <w:p>
            <w:pP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 xml:space="preserve">   </w:t>
            </w:r>
          </w:p>
          <w:p>
            <w:pPr>
              <w:ind w:left="479" w:leftChars="114" w:hanging="240" w:hangingChars="100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5" w:type="dxa"/>
          <w:wAfter w:w="2" w:type="dxa"/>
          <w:trHeight w:val="1387" w:hRule="atLeast"/>
        </w:trPr>
        <w:tc>
          <w:tcPr>
            <w:tcW w:w="898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六、合同履行的期限、地点和方式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本合同在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XXXX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XX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XX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日之前在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（地点） 履行。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本合同的履行方式：通过以下方式交付查新报告</w:t>
            </w:r>
          </w:p>
          <w:p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①委托人自取(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</w:p>
          <w:p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②查新机构邮寄（邮费由委托人自付）（）</w:t>
            </w:r>
          </w:p>
          <w:p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5" w:type="dxa"/>
          <w:wAfter w:w="2" w:type="dxa"/>
          <w:trHeight w:val="1437" w:hRule="atLeast"/>
        </w:trPr>
        <w:tc>
          <w:tcPr>
            <w:tcW w:w="898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七、保密责任（如需保密，请注明）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</w:t>
            </w:r>
          </w:p>
          <w:p>
            <w:pPr>
              <w:ind w:firstLine="480" w:firstLineChars="200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需要保密（</w:t>
            </w:r>
            <w:r>
              <w:rPr>
                <w:rFonts w:hint="eastAsia" w:ascii="宋体" w:hAnsi="宋体" w:eastAsia="宋体" w:cs="宋体"/>
                <w:b/>
                <w:bCs/>
                <w:color w:val="1D41D5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）   不需要保密（）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5" w:type="dxa"/>
          <w:wAfter w:w="2" w:type="dxa"/>
          <w:trHeight w:val="3549" w:hRule="atLeast"/>
        </w:trPr>
        <w:tc>
          <w:tcPr>
            <w:tcW w:w="898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八、查新报告的使用范围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自查新报告出具之日起一年内有效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5" w:type="dxa"/>
          <w:wAfter w:w="2" w:type="dxa"/>
          <w:trHeight w:val="3597" w:hRule="atLeast"/>
        </w:trPr>
        <w:tc>
          <w:tcPr>
            <w:tcW w:w="898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九、查新技术费用及其支付方式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一次总付：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元，时间：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XX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XX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5" w:type="dxa"/>
          <w:wAfter w:w="2" w:type="dxa"/>
          <w:trHeight w:val="3262" w:hRule="atLeast"/>
        </w:trPr>
        <w:tc>
          <w:tcPr>
            <w:tcW w:w="898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十、违约金或者损失赔偿的计算方法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违反本合同第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条约定，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应承担违约责任。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在查新报告约定交付时间之前，若查新委托人要求提前交付查新报告，经双方协商后，可按规定收取一定费用。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在查新报告约定交付时间之前，若查新委托人要求变更委托内容，经双方协商后，可按</w:t>
            </w:r>
          </w:p>
          <w:p>
            <w:pPr>
              <w:ind w:firstLine="820" w:firstLineChars="3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规定收取一定费用。</w:t>
            </w:r>
          </w:p>
          <w:p>
            <w:pPr>
              <w:ind w:firstLine="820" w:firstLineChars="34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820" w:firstLineChars="34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820" w:firstLineChars="34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820" w:firstLineChars="34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820" w:firstLineChars="34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820" w:firstLineChars="34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820" w:firstLineChars="34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5" w:type="dxa"/>
          <w:wAfter w:w="2" w:type="dxa"/>
          <w:trHeight w:val="4218" w:hRule="atLeast"/>
        </w:trPr>
        <w:tc>
          <w:tcPr>
            <w:tcW w:w="898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101600</wp:posOffset>
                      </wp:positionV>
                      <wp:extent cx="1485900" cy="198120"/>
                      <wp:effectExtent l="635" t="4445" r="18415" b="698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02.4pt;margin-top:8pt;height:15.6pt;width:117pt;z-index:251658240;mso-width-relative:page;mso-height-relative:page;" filled="f" stroked="t" coordsize="21600,21600" o:gfxdata="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AdZb/W&#10;AAAACQEAAA8AAAAAAAAAAQAgAAAAIgAAAGRycy9kb3ducmV2LnhtbFBLAQIUABQAAAAIAIdO4kBm&#10;Kg3p6QEAAKUDAAAOAAAAAAAAAAEAIAAAACU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十一、争议的解决方法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200660</wp:posOffset>
                      </wp:positionV>
                      <wp:extent cx="1828800" cy="99060"/>
                      <wp:effectExtent l="0" t="4445" r="19050" b="1079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.4pt;margin-top:15.8pt;height:7.8pt;width:144pt;z-index:251659264;mso-width-relative:page;mso-height-relative:page;" filled="f" stroked="t" coordsize="21600,21600" o:gfxdata="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3fPVtYA&#10;AAAIAQAADwAAAAAAAAABACAAAAAiAAAAZHJzL2Rvd25yZXYueG1sUEsBAhQAFAAAAAgAh07iQGGu&#10;bNPoAQAApAMAAA4AAAAAAAAAAQAgAAAAJQ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在合同履行过程发生争议，双方应当和解解决，也可以请求＿＿＿＿＿＿＿＿＿＿＿＿＿＿＿＿＿＿＿＿＿＿＿＿＿＿＿＿＿＿进行调解。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2811780</wp:posOffset>
                      </wp:positionH>
                      <wp:positionV relativeFrom="paragraph">
                        <wp:posOffset>299720</wp:posOffset>
                      </wp:positionV>
                      <wp:extent cx="1943100" cy="198120"/>
                      <wp:effectExtent l="635" t="4445" r="18415" b="69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21.4pt;margin-top:23.6pt;height:15.6pt;width:153pt;z-index:251661312;mso-width-relative:page;mso-height-relative:page;" filled="f" stroked="t" coordsize="21600,21600" o:gfxdata="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lYWF01gAA&#10;AAkBAAAPAAAAAAAAAAEAIAAAACIAAABkcnMvZG93bnJldi54bWxQSwECFAAUAAAACACHTuJAyTiQ&#10;EucBAAClAwAADgAAAAAAAAABACAAAAAl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2540</wp:posOffset>
                      </wp:positionV>
                      <wp:extent cx="342900" cy="99060"/>
                      <wp:effectExtent l="1270" t="4445" r="17780" b="107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65.4pt;margin-top:0.2pt;height:7.8pt;width:27pt;z-index:251660288;mso-width-relative:page;mso-height-relative:page;" filled="f" stroked="t" coordsize="21600,21600" o:gfxdata="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xxW8tUAAAAH&#10;AQAADwAAAAAAAAABACAAAAAiAAAAZHJzL2Rvd25yZXYueG1sUEsBAhQAFAAAAAgAh07iQHKLNGTm&#10;AQAAowMAAA4AAAAAAAAAAQAgAAAAJA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双方不愿和解、调解解决或者和解、调解不成的，双方商定，采取以下第＿＿＿＿种方式解决。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200660</wp:posOffset>
                      </wp:positionV>
                      <wp:extent cx="571500" cy="99060"/>
                      <wp:effectExtent l="635" t="4445" r="18415" b="1079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5.4pt;margin-top:15.8pt;height:7.8pt;width:45pt;z-index:251662336;mso-width-relative:page;mso-height-relative:page;" filled="f" stroked="t" coordsize="21600,21600" o:gfxdata="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vmwnU1AAAAAgB&#10;AAAPAAAAAAAAAAEAIAAAACIAAABkcnMvZG93bnJldi54bWxQSwECFAAUAAAACACHTuJAlYoiTuYB&#10;AACjAwAADgAAAAAAAAABACAAAAAj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（1）因本合同所发生的任何争议，申请＿＿＿＿＿＿＿＿＿＿＿＿＿＿＿＿＿＿＿＿＿＿＿＿＿＿＿＿＿＿仲裁委员会仲裁；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（2）按司法程序解决。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5" w:type="dxa"/>
          <w:wAfter w:w="2" w:type="dxa"/>
          <w:trHeight w:val="3756" w:hRule="atLeast"/>
        </w:trPr>
        <w:tc>
          <w:tcPr>
            <w:tcW w:w="898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十二、名称和术语的解释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5" w:type="dxa"/>
          <w:wAfter w:w="2" w:type="dxa"/>
          <w:trHeight w:val="3563" w:hRule="atLeast"/>
        </w:trPr>
        <w:tc>
          <w:tcPr>
            <w:tcW w:w="898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十三、合同附件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5" w:type="dxa"/>
          <w:wAfter w:w="2" w:type="dxa"/>
          <w:trHeight w:val="615" w:hRule="atLeast"/>
        </w:trPr>
        <w:tc>
          <w:tcPr>
            <w:tcW w:w="898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十四、本合同一式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u w:val="single"/>
              </w:rPr>
              <w:t>2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份，自双方签字盖章后生效</w:t>
            </w:r>
          </w:p>
        </w:tc>
      </w:tr>
    </w:tbl>
    <w:p/>
    <w:p/>
    <w:p/>
    <w:p/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委托人（盖章）：                                       查新机构（盖章）：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代表（签字）：                                         代表（签字）：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订立地点：                                        订立日期：</w:t>
      </w:r>
      <w:r>
        <w:rPr>
          <w:rFonts w:hint="eastAsia"/>
          <w:sz w:val="24"/>
          <w:lang w:val="en-US" w:eastAsia="zh-CN"/>
        </w:rPr>
        <w:t xml:space="preserve">           </w:t>
      </w:r>
      <w:r>
        <w:rPr>
          <w:rFonts w:hint="eastAsia"/>
          <w:sz w:val="24"/>
        </w:rPr>
        <w:t xml:space="preserve">      年   月   日 </w:t>
      </w:r>
    </w:p>
    <w:p/>
    <w:p/>
    <w:p/>
    <w:p/>
    <w:p/>
    <w:p/>
    <w:p/>
    <w:p/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填 写 说 明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在填写合同前，请仔细阅读《科技查新规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范》的第3、4、5、10部分。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“合同编号”的填写方法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合同编号为十四位，左起第一至四位为公历年代号，第五、六、七位为查新机构编号，第八、九、十、十一位为合同序号，以上编号不足位的补零。（合同序号由各查新机构自行编排）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查新合同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是指查新委托人的查新机构约定，由查新机构处理查新委托人的查新事务的合同。合同签字应当使用钢笔或者碳素笔。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查新目的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可分为立项查新、成果查新等。立项查新包括申报各级、各类科技计划，科研课题开始前的资料收集等；成果查新包括为开展成果鉴定、申报奖励等。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查新点与查新要求</w:t>
      </w:r>
    </w:p>
    <w:p>
      <w:pPr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查新点是指需要查证的内容。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查新要求是指委托人对查新提出的查新范围。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查新项目的科学技术要点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要着重说明查新项目的主要科学技术特征、技术参数或指标、应用范围、查新委托人自我判断的新颖性等，空间不够时可加附页。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参考文献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是指查新委托人列出的与查新项目密切相关的国内外文献（应当尽可能注明文献的著者、题目、刊名、年、卷、期、页），这些文献仅供查新机构在处理查新事务中参考。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保密责任</w:t>
      </w:r>
    </w:p>
    <w:p>
      <w:pPr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应当包括当事人对技术内容和资料保守秘密的内容、期限和泄露科学技术秘密应当承担的责任。双方可以约定，不论本合同是否变更、解除、终止，本条款均有效。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九、本合同中，凡是当事人约定认为无须填写的条款，在该条款填写的空白处划（/）表示。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1EB6"/>
    <w:multiLevelType w:val="multilevel"/>
    <w:tmpl w:val="25001EB6"/>
    <w:lvl w:ilvl="0" w:tentative="0">
      <w:start w:val="1"/>
      <w:numFmt w:val="decimal"/>
      <w:lvlText w:val="%1."/>
      <w:lvlJc w:val="left"/>
      <w:pPr>
        <w:tabs>
          <w:tab w:val="left" w:pos="375"/>
        </w:tabs>
        <w:ind w:left="375" w:hanging="375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 w:ascii="Times New Roman" w:hAnsi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218530C"/>
    <w:multiLevelType w:val="multilevel"/>
    <w:tmpl w:val="4218530C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6614670"/>
    <w:multiLevelType w:val="multilevel"/>
    <w:tmpl w:val="46614670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268B5"/>
    <w:rsid w:val="085D75E5"/>
    <w:rsid w:val="19AD2628"/>
    <w:rsid w:val="646268B5"/>
    <w:rsid w:val="6C220099"/>
    <w:rsid w:val="6C4120E6"/>
    <w:rsid w:val="7845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2020-05-12T07:47:00Z</dcterms:created>
  <dc:creator>Sleepy ash</dc:creator>
  <cp:lastModifiedBy>Sleepy ash</cp:lastModifiedBy>
  <dcterms:modified xsi:type="dcterms:W3CDTF">2020-05-27T02:06:35Z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